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CE" w:rsidRPr="00344C60" w:rsidRDefault="00344C60" w:rsidP="00C3242E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  <w:lang w:val="mn-MN"/>
        </w:rPr>
        <w:t>Х</w:t>
      </w:r>
      <w:proofErr w:type="spellStart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>үний</w:t>
      </w:r>
      <w:proofErr w:type="spellEnd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>нөөцийн</w:t>
      </w:r>
      <w:proofErr w:type="spellEnd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>хөгжил</w:t>
      </w:r>
      <w:proofErr w:type="spellEnd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, </w:t>
      </w:r>
      <w:proofErr w:type="spellStart"/>
      <w:r w:rsidRPr="00344C60">
        <w:rPr>
          <w:rFonts w:ascii="Arial" w:eastAsia="Times New Roman" w:hAnsi="Arial" w:cs="Arial"/>
          <w:b/>
          <w:bCs/>
          <w:kern w:val="36"/>
          <w:sz w:val="48"/>
          <w:szCs w:val="48"/>
        </w:rPr>
        <w:t>стратеги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хөгжлийн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эрхэм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зорилго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үүргийг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нөлөөтэй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боловсруулж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шинэчлэлтэд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зохицож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зүйлс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spacing w:before="100" w:beforeAutospacing="1" w:after="100" w:afterAutospacing="1" w:line="36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хөгжлийн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стратеги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дэвшүүлж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стратегийн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зорилтууд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:</w:t>
      </w:r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Нэг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44C60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цогц</w:t>
      </w:r>
      <w:proofErr w:type="spellEnd"/>
      <w:proofErr w:type="gram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механизмыг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</w:p>
    <w:p w:rsidR="000D1FCE" w:rsidRPr="00344C60" w:rsidRDefault="000D1FCE" w:rsidP="00C3242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44C60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proofErr w:type="gram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төлөвлөгөө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боловсруулан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батлуулж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хэрэгжилтийг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байгуулалт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удирдлагаар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</w:p>
    <w:p w:rsidR="000D1FCE" w:rsidRPr="00344C60" w:rsidRDefault="000D1FCE" w:rsidP="00C3242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асуудлаар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хамтын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Хоёр.</w:t>
      </w:r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үүргийг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чиглэсэн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</w:p>
    <w:p w:rsidR="000D1FCE" w:rsidRPr="00344C60" w:rsidRDefault="000D1FCE" w:rsidP="00C3242E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менежерүүд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тушаалтнуудад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стратеги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төлөвлөлт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менежмент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шинжилгээ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мониторинг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үнэлгээ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асуудлаар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</w:p>
    <w:p w:rsidR="000D1FCE" w:rsidRPr="00344C60" w:rsidRDefault="000D1FCE" w:rsidP="00C3242E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Гүйцэтгэлийн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удирдлагатай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мөрдөж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актуудыг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боловсронгуй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субъектэд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дүгнэлт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өгөх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Гурав.</w:t>
      </w:r>
      <w:r w:rsidRPr="00344C60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тушаалтнуудын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манлайллын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чадавхийг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Манлайлал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харилцааг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тогтоож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ажилтнуудын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эрч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авъяасыг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дайчлан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чиглүүлэхийн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зэрэгцээ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зүйлс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хүндэтгэх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Салбарынхаа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стратегийн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сэтгэх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зорилгодоо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хүрэх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зөв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тодорхойлж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чаддаг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C60">
        <w:rPr>
          <w:rFonts w:ascii="Arial" w:eastAsia="Times New Roman" w:hAnsi="Arial" w:cs="Arial"/>
          <w:sz w:val="24"/>
          <w:szCs w:val="24"/>
        </w:rPr>
        <w:lastRenderedPageBreak/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дотоод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орчны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бүтээлтэй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харилцааг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</w:p>
    <w:p w:rsidR="000D1FCE" w:rsidRPr="00344C60" w:rsidRDefault="000D1FCE" w:rsidP="00C324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Бусадтай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нөлөө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харилцаа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уриалан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дуудаж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чаддаг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биеэр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үлгэрлэн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өөрийгөө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дайчлан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шударгаар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бусдад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урам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хайрлаж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зоригжуулж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чаддаг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Бусдаар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хүлээн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зөвшөөрүүлж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хүрэх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гол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эзэмшсэн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Дөрөв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карьер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өсгөх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стратеги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</w:p>
    <w:p w:rsidR="000D1FCE" w:rsidRPr="00344C60" w:rsidRDefault="000D1FCE" w:rsidP="00C3242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Мэргэшсэн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дадлага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туршлагатай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</w:p>
    <w:p w:rsidR="000D1FCE" w:rsidRPr="00344C60" w:rsidRDefault="000D1FCE" w:rsidP="00C3242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сонгох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механизмыг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боловсронгуй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</w:p>
    <w:p w:rsidR="000D1FCE" w:rsidRPr="00344C60" w:rsidRDefault="000D1FCE" w:rsidP="00C3242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өөрчлөн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байршуулах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карьер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өсгөх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тогтолцоог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</w:p>
    <w:p w:rsidR="000D1FCE" w:rsidRPr="00344C60" w:rsidRDefault="000D1FCE" w:rsidP="00C3242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тушаалтны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бүрдүүлэх</w:t>
      </w:r>
      <w:proofErr w:type="spellEnd"/>
    </w:p>
    <w:p w:rsidR="000D1FCE" w:rsidRPr="00344C60" w:rsidRDefault="000D1FCE" w:rsidP="00C3242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өөрчлөлтөд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уялдуулан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тодорхойлох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Тав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тодорхойлох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иж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тогтолцоо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</w:p>
    <w:p w:rsidR="000D1FCE" w:rsidRPr="00344C60" w:rsidRDefault="000D1FCE" w:rsidP="00C324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тодорхойлох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хэрэгцээг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чадавхи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</w:p>
    <w:p w:rsidR="000D1FCE" w:rsidRPr="00344C60" w:rsidRDefault="000D1FCE" w:rsidP="00C324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Сургалтын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төлөвлөгөөг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</w:p>
    <w:p w:rsidR="000D1FCE" w:rsidRPr="00344C60" w:rsidRDefault="000D1FCE" w:rsidP="00C324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менежер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бэлтгэх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механизмтай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болох</w:t>
      </w:r>
      <w:proofErr w:type="spellEnd"/>
    </w:p>
    <w:p w:rsidR="000D1FCE" w:rsidRPr="00344C60" w:rsidRDefault="000D1FCE" w:rsidP="00C3242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ажилтнуудад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стандартын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мэдлэг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эзэмшүүлэх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тогтолцоотой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Зургаа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баталгаагаар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механизм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төлөвшсөн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Ажилтнуудын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баталгааг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нөөцийг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төсөвт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тусган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</w:p>
    <w:p w:rsidR="000D1FCE" w:rsidRPr="00344C60" w:rsidRDefault="000D1FCE" w:rsidP="00C324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Цалин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хөлс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урамшууллын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системийг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өрсөлдөх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чадвартай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болгох</w:t>
      </w:r>
      <w:proofErr w:type="spellEnd"/>
    </w:p>
    <w:p w:rsidR="000D1FCE" w:rsidRPr="00344C60" w:rsidRDefault="000D1FCE" w:rsidP="00C324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lastRenderedPageBreak/>
        <w:t>Ажлын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байрны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тохижилт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шинэчлэлтийг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орчин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үеийн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оффисийн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стандартын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жишигт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нийцүүлэн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тохижуулах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шаттай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</w:p>
    <w:p w:rsidR="000D1FCE" w:rsidRPr="00344C60" w:rsidRDefault="000D1FCE" w:rsidP="00C3242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тээвэр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барилга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байгуулалтын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баталгааг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”-т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тусгагдсан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харъяа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зарлагаас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давсан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орлого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санхүүжилтээр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хэрэгжүүлнэ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сууцны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шийдвэрлэх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сууцныхаа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нөхцлийг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сайжруулахад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дурьдсан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хэмжээнүүдийг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хариуцаж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санхүүжүүлнэ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spacing w:before="100" w:beforeAutospacing="1" w:after="100" w:afterAutospacing="1" w:line="36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b/>
          <w:bCs/>
          <w:sz w:val="24"/>
          <w:szCs w:val="24"/>
        </w:rPr>
        <w:t>Долоо</w:t>
      </w:r>
      <w:proofErr w:type="spellEnd"/>
      <w:r w:rsidRPr="00344C6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4C60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зүйлсийг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хэвшүүлэх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хаагчид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сахин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биелүүлдэг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итгэлцэл-хүндэтгэл-ажил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хэрэгч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зарчмаар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ажилладаг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соёлын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үндэс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үзнэ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хаагчид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Авлигалын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эсрэг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1999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58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тогтоолоор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тушаалтны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дүрэм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”-д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сахиж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ажиллахын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дараахь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баримталж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ажиллана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: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тогтоомжийг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ашиг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сонирхлоос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дээгүүр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сахин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биелүүлнэ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үүргийг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хэрэгжүүлэх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ажилдаа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сонирхолтой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мэдэгдсэн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нууцтай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мэдээллийг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задруулах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ашиглах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ёсгүй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цагаар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байранд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согтуу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согтууруулах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ундааны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хэрэглэхийг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Багшлах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эрдэм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шинжилгээний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ажлаас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хавсран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эрхлэхийг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үүрэгт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хамаарахгүй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асуудлаар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хүлээх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амлалт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авахыг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15-ны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мэдүүлгийг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авлигалын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шинжтэй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аливаа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үйлдэл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хийхийг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0D1FCE" w:rsidRPr="00344C60" w:rsidRDefault="000D1FCE" w:rsidP="00C3242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4C60">
        <w:rPr>
          <w:rFonts w:ascii="Arial" w:eastAsia="Times New Roman" w:hAnsi="Arial" w:cs="Arial"/>
          <w:sz w:val="24"/>
          <w:szCs w:val="24"/>
        </w:rPr>
        <w:lastRenderedPageBreak/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тангарагтаа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үнэнч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ажилдаа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сэтгэлээсээ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хандах</w:t>
      </w:r>
      <w:proofErr w:type="spellEnd"/>
    </w:p>
    <w:p w:rsidR="000D1FCE" w:rsidRPr="00344C60" w:rsidRDefault="000D1FCE" w:rsidP="00C3242E">
      <w:pPr>
        <w:spacing w:before="100" w:beforeAutospacing="1" w:after="100" w:afterAutospacing="1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proofErr w:type="spellStart"/>
      <w:r w:rsidRPr="00344C60">
        <w:rPr>
          <w:rFonts w:ascii="Arial" w:eastAsia="Times New Roman" w:hAnsi="Arial" w:cs="Arial"/>
          <w:sz w:val="24"/>
          <w:szCs w:val="24"/>
        </w:rPr>
        <w:t>Эдгээр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мөрдөж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явдлыг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дүнгийн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гэрээ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нийлүүлэх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төлөвлөгөөнд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бүтээгдэхүүн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болгон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тусгаж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344C60">
        <w:rPr>
          <w:rFonts w:ascii="Arial" w:eastAsia="Times New Roman" w:hAnsi="Arial" w:cs="Arial"/>
          <w:sz w:val="24"/>
          <w:szCs w:val="24"/>
        </w:rPr>
        <w:t>дүгнэж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ажиллана</w:t>
      </w:r>
      <w:proofErr w:type="spellEnd"/>
      <w:proofErr w:type="gramEnd"/>
      <w:r w:rsidRPr="00344C6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хаагчийн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харилцааны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сэтгэл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сэтгэл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чиглэлээр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ажилтнуудыг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сургалт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лекц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хөтөлбөрт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хамруулах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шаттай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байгуулна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Ингэснээр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ажилтнуудын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зүйлсийн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үнэлэмж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дээшилж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олны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найрсаг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биеэ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хүндэтгэсэн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соёл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төлөвшиж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хирээр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ажиллагааны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чадавхи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44C60">
        <w:rPr>
          <w:rFonts w:ascii="Arial" w:eastAsia="Times New Roman" w:hAnsi="Arial" w:cs="Arial"/>
          <w:sz w:val="24"/>
          <w:szCs w:val="24"/>
        </w:rPr>
        <w:t>сайжирна</w:t>
      </w:r>
      <w:proofErr w:type="spellEnd"/>
      <w:r w:rsidRPr="00344C60">
        <w:rPr>
          <w:rFonts w:ascii="Arial" w:eastAsia="Times New Roman" w:hAnsi="Arial" w:cs="Arial"/>
          <w:sz w:val="24"/>
          <w:szCs w:val="24"/>
        </w:rPr>
        <w:t>.</w:t>
      </w:r>
    </w:p>
    <w:p w:rsidR="004476A5" w:rsidRDefault="004476A5" w:rsidP="00C3242E">
      <w:pPr>
        <w:spacing w:line="360" w:lineRule="auto"/>
        <w:rPr>
          <w:rFonts w:ascii="Arial" w:hAnsi="Arial" w:cs="Arial"/>
        </w:rPr>
      </w:pPr>
    </w:p>
    <w:p w:rsidR="00344C60" w:rsidRDefault="00344C60" w:rsidP="00C3242E">
      <w:pPr>
        <w:spacing w:line="360" w:lineRule="auto"/>
        <w:rPr>
          <w:rFonts w:ascii="Arial" w:hAnsi="Arial" w:cs="Arial"/>
        </w:rPr>
      </w:pPr>
    </w:p>
    <w:p w:rsidR="00344C60" w:rsidRPr="00344C60" w:rsidRDefault="00344C60" w:rsidP="00C3242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oOo</w:t>
      </w:r>
      <w:proofErr w:type="spellEnd"/>
      <w:r>
        <w:rPr>
          <w:rFonts w:ascii="Arial" w:hAnsi="Arial" w:cs="Arial"/>
        </w:rPr>
        <w:t>___</w:t>
      </w:r>
    </w:p>
    <w:sectPr w:rsidR="00344C60" w:rsidRPr="00344C60" w:rsidSect="00344C60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4E"/>
    <w:multiLevelType w:val="multilevel"/>
    <w:tmpl w:val="66C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2721F"/>
    <w:multiLevelType w:val="multilevel"/>
    <w:tmpl w:val="E1B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A605C"/>
    <w:multiLevelType w:val="multilevel"/>
    <w:tmpl w:val="FCAA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D258A"/>
    <w:multiLevelType w:val="multilevel"/>
    <w:tmpl w:val="BBBE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C2BBC"/>
    <w:multiLevelType w:val="multilevel"/>
    <w:tmpl w:val="EDD2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E22FB"/>
    <w:multiLevelType w:val="multilevel"/>
    <w:tmpl w:val="697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779C3"/>
    <w:multiLevelType w:val="multilevel"/>
    <w:tmpl w:val="21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0"/>
    <w:rsid w:val="000D1FCE"/>
    <w:rsid w:val="00344C60"/>
    <w:rsid w:val="004476A5"/>
    <w:rsid w:val="00C3242E"/>
    <w:rsid w:val="00E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8988"/>
  <w15:chartTrackingRefBased/>
  <w15:docId w15:val="{87E3AA99-B6F9-45DD-90C0-6BB86C3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F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1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</dc:creator>
  <cp:keywords/>
  <dc:description/>
  <cp:lastModifiedBy>GHBHBGazar-Lawyer</cp:lastModifiedBy>
  <cp:revision>2</cp:revision>
  <dcterms:created xsi:type="dcterms:W3CDTF">2022-12-27T06:31:00Z</dcterms:created>
  <dcterms:modified xsi:type="dcterms:W3CDTF">2022-12-27T06:31:00Z</dcterms:modified>
</cp:coreProperties>
</file>